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47.png" ContentType="image/png"/>
  <Override PartName="/word/media/rId54.png" ContentType="image/png"/>
  <Override PartName="/word/media/rId32.png" ContentType="image/png"/>
  <Override PartName="/word/media/rId39.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a</w:t>
      </w:r>
      <w:r>
        <w:t xml:space="preserve"> </w:t>
      </w:r>
      <m:oMath>
        <m:r>
          <m:t>1.6</m:t>
        </m:r>
        <m:r>
          <m:t>−</m:t>
        </m:r>
        <m:sSup>
          <m:e>
            <m:r>
              <m:t>4.3</m:t>
            </m:r>
          </m:e>
          <m:sup>
            <m:r>
              <m:t>∘</m:t>
            </m:r>
          </m:sup>
        </m:sSup>
      </m:oMath>
      <w:r>
        <w:t xml:space="preserve">C above pre-industrial levels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(Rollinson</w:t>
      </w:r>
      <w:r>
        <w:t xml:space="preserve"> </w:t>
      </w:r>
      <w:r>
        <w:rPr>
          <w:i/>
        </w:rPr>
        <w:t xml:space="preserve">et al.</w:t>
      </w:r>
      <w:r>
        <w:t xml:space="preserve">, 2020; Breshears</w:t>
      </w:r>
      <w:r>
        <w:t xml:space="preserve"> </w:t>
      </w:r>
      <w:r>
        <w:rPr>
          <w:i/>
        </w:rPr>
        <w:t xml:space="preserve">et al.</w:t>
      </w:r>
      <w:r>
        <w:t xml:space="preserve">, 2021; McDowell</w:t>
      </w:r>
      <w:r>
        <w:t xml:space="preserve"> </w:t>
      </w:r>
      <w:r>
        <w:rPr>
          <w:i/>
        </w:rPr>
        <w:t xml:space="preserve">et al.</w:t>
      </w:r>
      <w:r>
        <w:t xml:space="preserve">, 2020)</w:t>
      </w:r>
      <w:r>
        <w:t xml:space="preserve">. Collectively, these impacts may lead to reduction of forest carbon sequestration, as has already be occurred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A great measure of uncertainity arises due to the differential impacts of rising temperatures on trees of differential size and canopy position, especially as because small understory trees exist in microenvironments that are substantially buffered by more exposed canopy trees</w:t>
      </w:r>
      <w:r>
        <w:rPr>
          <w:b/>
        </w:rPr>
        <w:t xml:space="preserve"> </w:t>
      </w:r>
      <w:r>
        <w:rPr>
          <w:b/>
        </w:rPr>
        <w:t xml:space="preserve">(Davis</w:t>
      </w:r>
      <w:r>
        <w:rPr>
          <w:b/>
        </w:rPr>
        <w:t xml:space="preserve"> </w:t>
      </w:r>
      <w:r>
        <w:rPr>
          <w:i/>
          <w:b/>
        </w:rPr>
        <w:t xml:space="preserve">et al.</w:t>
      </w:r>
      <w:r>
        <w:rPr>
          <w:b/>
        </w:rPr>
        <w:t xml:space="preserve">, 2019a;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80"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w:t>
      </w:r>
      <w:r>
        <w:t xml:space="preserve"> </w:t>
      </w:r>
      <w:r>
        <w:t xml:space="preserve">(NEON; Figs. 2-S1; Supporting Information Methods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six US forest sites with contrasting forest structures in the National Ecological Observatory Network (NEON). Height profiles from the growing season are shown for: (a) leaf area density, (b) proportion of sun leaves, (c) proportion light incident at the top of the canopy,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six US forest sites with contrasting forest structures in the National Ecological Observatory Network (NEON)</w:t>
      </w:r>
      <w:r>
        <w:t xml:space="preserve">. Height profiles from the growing season are shown for: (a) leaf area density, (b) proportion of sun leaves, (c) proportion light incident at the top of the canopy,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determined by the distribution of tree sizes and tree architecture within a forest, and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2019b;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rPr>
          <w:b/>
        </w:rP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rPr>
          <w:b/>
        </w:rPr>
        <w:t xml:space="preserve"> </w:t>
      </w:r>
      <w:r>
        <w:rPr>
          <w:b/>
        </w:rPr>
        <w:t xml:space="preserve">(Figs. 2a-d, S1, Koike</w:t>
      </w:r>
      <w:r>
        <w:rPr>
          <w:b/>
        </w:rPr>
        <w:t xml:space="preserve"> </w:t>
      </w:r>
      <w:r>
        <w:rPr>
          <w:i/>
          <w:b/>
        </w:rPr>
        <w:t xml:space="preserve">et al.</w:t>
      </w:r>
      <w:r>
        <w:rPr>
          <w:b/>
        </w:rPr>
        <w:t xml:space="preserve">, 2001)</w:t>
      </w:r>
      <w:r>
        <w:rPr>
          <w:b/>
        </w:rP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Figs. 2d, S1, Aussenac, 2000; Chazdon &amp; Fetcher, 1984; Baldocchi</w:t>
      </w:r>
      <w:r>
        <w:t xml:space="preserve"> </w:t>
      </w:r>
      <w:r>
        <w:rPr>
          <w:i/>
        </w:rPr>
        <w:t xml:space="preserve">et al.</w:t>
      </w:r>
      <w:r>
        <w:t xml:space="preserve">, 1997; Smith</w:t>
      </w:r>
      <w:r>
        <w:t xml:space="preserve"> </w:t>
      </w:r>
      <w:r>
        <w:rPr>
          <w:i/>
        </w:rPr>
        <w:t xml:space="preserve">et al.</w:t>
      </w:r>
      <w:r>
        <w:t xml:space="preserve">, 2019b;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buffering effect of the canopy</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 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(Figs. 2, S1).</w:t>
      </w:r>
      <w:r>
        <w:t xml:space="preserve"> </w:t>
      </w:r>
      <w:r>
        <w:t xml:space="preserve">The implication is that upper canopy leaves have substantially higher boundary layer conductance (</w:t>
      </w:r>
      <m:oMath>
        <m:sSub>
          <m:e>
            <m:r>
              <m:t>g</m:t>
            </m:r>
          </m:e>
          <m:sub>
            <m:r>
              <m:t>a</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during the day especially under cloudy skies, at high windspeeds and high</w:t>
      </w:r>
      <w:r>
        <w:t xml:space="preserve"> </w:t>
      </w:r>
      <m:oMath>
        <m:sSub>
          <m:e>
            <m:r>
              <m:t>T</m:t>
            </m:r>
          </m:e>
          <m:sub>
            <m:r>
              <m:t>a</m:t>
            </m:r>
            <m:r>
              <m:t>i</m:t>
            </m:r>
            <m:r>
              <m:t>r</m:t>
            </m:r>
          </m:sub>
        </m:sSub>
      </m:oMath>
      <w:r>
        <w:t xml:space="preserve">. 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net radiation (</w:t>
      </w:r>
      <m:oMath>
        <m:sSub>
          <m:e>
            <m:r>
              <m:t>R</m:t>
            </m:r>
          </m:e>
          <m:sub>
            <m:r>
              <m:t>n</m:t>
            </m:r>
          </m:sub>
        </m:sSub>
      </m:oMath>
      <w:r>
        <w:rPr>
          <w:b/>
        </w:rPr>
        <w:t xml:space="preserve">, including shortwave and longwave) minus heat lost to the environment</w:t>
      </w:r>
      <w:r>
        <w:rPr>
          <w:b/>
        </w:rPr>
        <w:t xml:space="preserve"> </w:t>
      </w:r>
      <w:r>
        <w:rPr>
          <w:b/>
        </w:rPr>
        <w:t xml:space="preserve">(Fig. 3, Campbell &amp; Norman, 1998; Muir, 2019)</w:t>
      </w:r>
      <w:r>
        <w:rPr>
          <w:b/>
        </w:rP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 Sensible heat flux between leaf and air is regulated by leaf boundary layer conductance, which is greater in smaller leaves (Fig. 3d) and higher wind speeds (Fig. 3b). 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notably,</w:t>
      </w:r>
      <w:r>
        <w:t xml:space="preserve"> </w:t>
      </w:r>
      <m:oMath>
        <m:sSub>
          <m:e>
            <m:r>
              <m:t>g</m:t>
            </m:r>
          </m:e>
          <m:sub>
            <m:r>
              <m:t>b</m:t>
            </m:r>
          </m:sub>
        </m:sSub>
      </m:oMath>
      <w:r>
        <w:t xml:space="preserve"> </w:t>
      </w:r>
      <w:r>
        <w:t xml:space="preserve">is influenced by windspeed and</w:t>
      </w:r>
      <w:r>
        <w:t xml:space="preserve"> </w:t>
      </w:r>
      <m:oMath>
        <m:sSub>
          <m:e>
            <m:r>
              <m:t>g</m:t>
            </m:r>
          </m:e>
          <m:sub>
            <m:r>
              <m:t>s</m:t>
            </m:r>
          </m:sub>
        </m:sSub>
      </m:oMath>
      <w:r>
        <w:t xml:space="preserve"> </w:t>
      </w:r>
      <w:r>
        <w:t xml:space="preserve">respond due to stomatal closure under high VPD.</w:t>
      </w:r>
      <w:r>
        <w:t xml:space="preserve"> </w:t>
      </w:r>
      <w:r>
        <w:t xml:space="preserve">Therefore, under full sunlight,</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b</m:t>
            </m:r>
          </m:sub>
        </m:sSub>
      </m:oMath>
      <w:r>
        <w:t xml:space="preserve">, which increases with wind speed</w:t>
      </w:r>
      <w:r>
        <w:t xml:space="preserve"> </w:t>
      </w:r>
      <w:r>
        <w:t xml:space="preserve">(Fig. 3b, Daudet</w:t>
      </w:r>
      <w:r>
        <w:t xml:space="preserve"> </w:t>
      </w:r>
      <w:r>
        <w:rPr>
          <w:i/>
        </w:rPr>
        <w:t xml:space="preserve">et al.</w:t>
      </w:r>
      <w:r>
        <w:t xml:space="preserve">, 1999)</w:t>
      </w:r>
      <w:r>
        <w:t xml:space="preserve"> </w:t>
      </w:r>
      <w:r>
        <w:t xml:space="preserve">and</w:t>
      </w:r>
      <w:r>
        <w:t xml:space="preserve"> </w:t>
      </w:r>
      <m:oMath>
        <m:sSub>
          <m:e>
            <m:r>
              <m:t>g</m:t>
            </m:r>
          </m:e>
          <m:sub>
            <m:r>
              <m:t>s</m:t>
            </m:r>
          </m:sub>
        </m:sSub>
      </m:oMath>
      <w:r>
        <w:t xml:space="preserve"> </w:t>
      </w:r>
      <w:r>
        <w:t xml:space="preserve">(Fig. 3e); increases with leaf size (Fig. 3d);</w:t>
      </w:r>
      <w:r>
        <w:t xml:space="preserve"> </w:t>
      </w:r>
      <w:r>
        <w:t xml:space="preserve">decreases with and increases with VPD, or increases with RH (Fig. 3c).</w:t>
      </w:r>
    </w:p>
    <w:p>
      <w:pPr>
        <w:pStyle w:val="CaptionedFigure"/>
      </w:pPr>
      <w:r>
        <w:drawing>
          <wp:inline>
            <wp:extent cx="5334000" cy="2749001"/>
            <wp:effectExtent b="0" l="0" r="0" t="0"/>
            <wp:docPr descr="Figure 3. Theoretical expectations for variation in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7"/>
                    <a:stretch>
                      <a:fillRect/>
                    </a:stretch>
                  </pic:blipFill>
                  <pic:spPr bwMode="auto">
                    <a:xfrm>
                      <a:off x="0" y="0"/>
                      <a:ext cx="5334000" cy="2749001"/>
                    </a:xfrm>
                    <a:prstGeom prst="rect">
                      <a:avLst/>
                    </a:prstGeom>
                    <a:noFill/>
                    <a:ln w="9525">
                      <a:noFill/>
                      <a:headEnd/>
                      <a:tailEnd/>
                    </a:ln>
                  </pic:spPr>
                </pic:pic>
              </a:graphicData>
            </a:graphic>
          </wp:inline>
        </w:drawing>
      </w:r>
    </w:p>
    <w:p>
      <w:pPr>
        <w:pStyle w:val="ImageCaption"/>
      </w:pPr>
      <w:r>
        <w:rPr>
          <w:b/>
        </w:rPr>
        <w:t xml:space="preserve">Figure 3. Theoretical expectations for variation in</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stomatal opening)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will be most effective at cooling under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and an increase in</w:t>
      </w:r>
      <w:r>
        <w:t xml:space="preserve"> </w:t>
      </w:r>
      <m:oMath>
        <m:sSub>
          <m:e>
            <m:r>
              <m:t>T</m:t>
            </m:r>
          </m:e>
          <m:sub>
            <m:r>
              <m:t>l</m:t>
            </m:r>
            <m:r>
              <m:t>e</m:t>
            </m:r>
            <m:r>
              <m:t>a</m:t>
            </m:r>
            <m:r>
              <m:t>f</m:t>
            </m:r>
          </m:sub>
        </m:sSub>
      </m:oMath>
      <w:r>
        <w:t xml:space="preserve">. Therefore, we would expect a strong</w:t>
      </w:r>
      <w:r>
        <w:t xml:space="preserve"> </w:t>
      </w:r>
      <m:oMath>
        <m:sSub>
          <m:e>
            <m:r>
              <m:t>T</m:t>
            </m:r>
          </m:e>
          <m:sub>
            <m:r>
              <m:t>l</m:t>
            </m:r>
            <m:r>
              <m:t>e</m:t>
            </m:r>
            <m:r>
              <m:t>a</m:t>
            </m:r>
            <m:r>
              <m:t>f</m:t>
            </m:r>
          </m:sub>
        </m:sSub>
      </m:oMath>
      <w:r>
        <w:t xml:space="preserve"> </w:t>
      </w:r>
      <w:r>
        <w:t xml:space="preserve">gradient in closed canopies</w:t>
      </w:r>
      <w:r>
        <w:t xml:space="preserve"> </w:t>
      </w:r>
      <w:r>
        <w:t xml:space="preserve">(Miller</w:t>
      </w:r>
      <w:r>
        <w:t xml:space="preserve"> </w:t>
      </w:r>
      <w:r>
        <w:rPr>
          <w:i/>
        </w:rPr>
        <w:t xml:space="preserve">et al.</w:t>
      </w:r>
      <w:r>
        <w:t xml:space="preserve">, 2021)</w:t>
      </w:r>
      <w:r>
        <w:t xml:space="preserve">. In contrast,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varies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b</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In addition to lower wind speeds (Fig. 2), higher RH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transmission,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 leaf and branch temperatures often differ substantially. For instance, exposed tropical tree bark can be much warmer than leaves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 Johnston</w:t>
      </w:r>
      <w:r>
        <w:t xml:space="preserve"> </w:t>
      </w:r>
      <w:r>
        <w:rPr>
          <w:i/>
        </w:rPr>
        <w:t xml:space="preserve">et al.</w:t>
      </w:r>
      <w:r>
        <w:t xml:space="preserve">, 2020)</w:t>
      </w:r>
      <w:r>
        <w:t xml:space="preserve">.</w:t>
      </w:r>
      <w:r>
        <w:t xml:space="preserve"> </w:t>
      </w:r>
      <w:r>
        <w:t xml:space="preserve">Thus,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 Maclean &amp; Klinges,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w:t>
      </w:r>
      <w:r>
        <w:t xml:space="preserve"> </w:t>
      </w:r>
      <w:r>
        <w:rPr>
          <w:i/>
        </w:rPr>
        <w:t xml:space="preserve">Lamour, Serbin in prep</w:t>
      </w:r>
      <w:r>
        <w:t xml:space="preserve">; Cavaleri</w:t>
      </w:r>
      <w:r>
        <w:t xml:space="preserve"> </w:t>
      </w:r>
      <w:r>
        <w:rPr>
          <w:i/>
        </w:rPr>
        <w:t xml:space="preserve">et al.</w:t>
      </w:r>
      <w:r>
        <w:t xml:space="preserve">, 2010)</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t>
      </w:r>
      <w:r>
        <w:t xml:space="preserve">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and may be optimized throughout the vertical canopy gradient</w:t>
      </w:r>
      <w:r>
        <w:t xml:space="preserve"> </w:t>
      </w:r>
      <w:r>
        <w:t xml:space="preserve">(Buckley, 2021)</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2019a;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cold or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4"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(OSBS, 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 A study of tropical oaks found decreasing stomatal conductive capacity (based on morphology) with increasing site mean</w:t>
      </w:r>
      <w:r>
        <w:t xml:space="preserve"> </w:t>
      </w:r>
      <m:oMath>
        <m:sSub>
          <m:e>
            <m:r>
              <m:t>T</m:t>
            </m:r>
          </m:e>
          <m:sub>
            <m:r>
              <m:t>a</m:t>
            </m:r>
            <m:r>
              <m:t>i</m:t>
            </m:r>
            <m:r>
              <m:t>r</m:t>
            </m:r>
          </m:sub>
        </m:sSub>
      </m:oMath>
      <w:r>
        <w:t xml:space="preserve"> </w:t>
      </w:r>
      <w:r>
        <w:t xml:space="preserve">(Lin et al., 2021), a response likely linked to water conservation under increasing VPD. The extent to which maximum conductance (and its leaf cooling potential) increases with light may therefore depend on the specific thermal microenvironments arrayed across the profile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3" w:name="voc-production"/>
    <w:p>
      <w:pPr>
        <w:pStyle w:val="Heading3"/>
      </w:pPr>
      <w:r>
        <w:t xml:space="preserve">VOC production</w:t>
      </w:r>
    </w:p>
    <w:p>
      <w:pPr>
        <w:pStyle w:val="FirstParagraph"/>
      </w:pPr>
      <w:r>
        <w:rPr>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(Taylor</w:t>
      </w:r>
      <w:r>
        <w:t xml:space="preserve"> </w:t>
      </w:r>
      <w:r>
        <w:rPr>
          <w:i/>
        </w:rPr>
        <w:t xml:space="preserve">et al.</w:t>
      </w:r>
      <w:r>
        <w:t xml:space="preserve">, 2019b; Sharkey</w:t>
      </w:r>
      <w:r>
        <w:t xml:space="preserve"> </w:t>
      </w:r>
      <w:r>
        <w:rPr>
          <w:i/>
        </w:rPr>
        <w:t xml:space="preserve">et al.</w:t>
      </w:r>
      <w:r>
        <w:t xml:space="preserve">, 2008)</w:t>
      </w:r>
      <w:r>
        <w:t xml:space="preserve">, and within species, emission rates tend to increase toward brighter and hotter microenvironments</w:t>
      </w:r>
      <w:r>
        <w:t xml:space="preserve"> </w:t>
      </w:r>
      <w:r>
        <w:t xml:space="preserve">(Niinemets</w:t>
      </w:r>
      <w:r>
        <w:t xml:space="preserve"> </w:t>
      </w:r>
      <w:r>
        <w:rPr>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w:t>
      </w:r>
    </w:p>
    <w:bookmarkEnd w:id="43"/>
    <w:bookmarkEnd w:id="44"/>
    <w:bookmarkStart w:id="49"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6"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w:t>
      </w:r>
      <w:r>
        <w:t xml:space="preserve"> </w:t>
      </w:r>
      <w:r>
        <w:rPr>
          <w:b/>
        </w:rPr>
        <w:t xml:space="preserve">???</w:t>
      </w:r>
      <w:r>
        <w:t xml:space="preserve">)</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6"/>
    <w:bookmarkStart w:id="48"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Kunert et al. 2017),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 In terms of C cycling, it has been estimated that canopy strata contribute</w:t>
      </w:r>
      <w:r>
        <w:t xml:space="preserve"> </w:t>
      </w:r>
      <m:oMath>
        <m:r>
          <m:t>≥</m:t>
        </m:r>
      </m:oMath>
      <w:r>
        <w:t xml:space="preserve"> </w:t>
      </w:r>
      <w:r>
        <w:t xml:space="preserve">64% of net daytime</w:t>
      </w:r>
      <w:r>
        <w:t xml:space="preserve"> </w:t>
      </w:r>
      <w:r>
        <w:rPr>
          <w:vertAlign w:val="subscript"/>
        </w:rPr>
        <w:t xml:space="preserve">CO</w:t>
      </w:r>
      <w:r>
        <w:t xml:space="preserve">2~ 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 ANPPwoody and Mwoody across 25 globally distributed forests (Fig. 5b, Piponiot et al., accepted).</w:t>
      </w:r>
    </w:p>
    <w:p>
      <w:pPr>
        <w:pStyle w:val="CaptionedFigure"/>
      </w:pPr>
      <w:r>
        <w:drawing>
          <wp:inline>
            <wp:extent cx="5334000" cy="7111999"/>
            <wp:effectExtent b="0" l="0" r="0" t="0"/>
            <wp:docPr descr="Figure 5. Vertical partitioning of (a) evapotranspiration and (b) C fluxes in tropical forests. Panel (a) is from (Kunert et al. 2017). I’d like to create a parallel figure for C fluxes." title="" id="1" name="Picture"/>
            <a:graphic>
              <a:graphicData uri="http://schemas.openxmlformats.org/drawingml/2006/picture">
                <pic:pic>
                  <pic:nvPicPr>
                    <pic:cNvPr descr="schematics/ecosystem%20vertical%20partitioning/ecosystem%20partitioning_updated.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Increases in canopy</w:t>
      </w:r>
      <w:r>
        <w:t xml:space="preserve"> </w:t>
      </w:r>
      <m:oMath>
        <m:sSub>
          <m:e>
            <m:r>
              <m:t>T</m:t>
            </m:r>
          </m:e>
          <m:sub>
            <m:r>
              <m:t>l</m:t>
            </m:r>
            <m:r>
              <m:t>e</m:t>
            </m:r>
            <m:r>
              <m:t>a</m:t>
            </m:r>
            <m:r>
              <m:t>f</m:t>
            </m:r>
          </m:sub>
        </m:sSub>
      </m:oMath>
      <w:r>
        <w:t xml:space="preserve"> </w:t>
      </w:r>
      <w:r>
        <w:t xml:space="preserve">are shown to reduce forest GPP in the tropics</w:t>
      </w:r>
      <w:r>
        <w:t xml:space="preserve"> </w:t>
      </w:r>
      <w:r>
        <w:t xml:space="preserve">(Pau</w:t>
      </w:r>
      <w:r>
        <w:t xml:space="preserve"> </w:t>
      </w:r>
      <w:r>
        <w:rPr>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8"/>
    <w:bookmarkEnd w:id="49"/>
    <w:bookmarkStart w:id="50"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0"/>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1"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Greiser</w:t>
      </w:r>
      <w:r>
        <w:t xml:space="preserve"> </w:t>
      </w:r>
      <w:r>
        <w:rPr>
          <w:i/>
        </w:rPr>
        <w:t xml:space="preserve">et al.</w:t>
      </w:r>
      <w:r>
        <w:t xml:space="preserve">, 2019;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1"/>
    <w:bookmarkStart w:id="52" w:name="warming"/>
    <w:p>
      <w:pPr>
        <w:pStyle w:val="Heading3"/>
      </w:pPr>
      <w:r>
        <w:t xml:space="preserve">warming</w:t>
      </w:r>
    </w:p>
    <w:p>
      <w:pPr>
        <w:pStyle w:val="FirstParagraph"/>
      </w:pPr>
      <w:r>
        <w:t xml:space="preserve">Warming impacts forests,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carbon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2"/>
    <w:bookmarkEnd w:id="53"/>
    <w:bookmarkStart w:id="57" w:name="scaling-across-space-and-time"/>
    <w:p>
      <w:pPr>
        <w:pStyle w:val="Heading2"/>
      </w:pPr>
      <w:r>
        <w:t xml:space="preserve">Scaling across space and time</w:t>
      </w:r>
    </w:p>
    <w:bookmarkStart w:id="56"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5.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Issue #4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4"/>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
        </w:rPr>
        <w:t xml:space="preserve">Figure 5.</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r>
        <w:t xml:space="preserve"> </w:t>
      </w:r>
      <w:hyperlink r:id="rId55">
        <w:r>
          <w:rPr>
            <w:rStyle w:val="Hyperlink"/>
          </w:rPr>
          <w:t xml:space="preserve">Issue #42</w:t>
        </w:r>
      </w:hyperlink>
      <w:r>
        <w:t xml:space="preserve">.</w:t>
      </w:r>
    </w:p>
    <w:p>
      <w:pPr>
        <w:pStyle w:val="BodyText"/>
      </w:pPr>
      <w:r>
        <w:rPr>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 in review)</w:t>
      </w:r>
      <w:r>
        <w:t xml:space="preserve">.</w:t>
      </w:r>
      <w:r>
        <w:t xml:space="preserve"> </w:t>
      </w:r>
      <w:r>
        <w:t xml:space="preserve">(Pau</w:t>
      </w:r>
      <w:r>
        <w:t xml:space="preserve"> </w:t>
      </w:r>
      <w:r>
        <w:rPr>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6"/>
    <w:bookmarkEnd w:id="57"/>
    <w:bookmarkStart w:id="58"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8"/>
    <w:bookmarkStart w:id="59"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59"/>
    <w:bookmarkStart w:id="279" w:name="references"/>
    <w:p>
      <w:pPr>
        <w:pStyle w:val="Heading2"/>
      </w:pPr>
      <w:r>
        <w:t xml:space="preserve">References</w:t>
      </w:r>
    </w:p>
    <w:bookmarkStart w:id="278" w:name="refs"/>
    <w:bookmarkStart w:id="60"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0"/>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78"/>
    <w:bookmarkStart w:id="79"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79"/>
    <w:bookmarkStart w:id="80"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80"/>
    <w:bookmarkStart w:id="81" w:name="ref-buckleyOptimalCarbonPartitioning2021"/>
    <w:p>
      <w:pPr>
        <w:pStyle w:val="Bibliography"/>
      </w:pPr>
      <w:r>
        <w:rPr>
          <w:b w:val="0"/>
          <w:b/>
        </w:rPr>
        <w:t xml:space="preserve">Buckley TN</w:t>
      </w:r>
      <w:r>
        <w:t xml:space="preserve">.</w:t>
      </w:r>
      <w:r>
        <w:t xml:space="preserve"> </w:t>
      </w:r>
      <w:r>
        <w:rPr>
          <w:b/>
        </w:rPr>
        <w:t xml:space="preserve">2021</w:t>
      </w:r>
      <w:r>
        <w:t xml:space="preserve">. Optimal carbon partitioning helps reconcile the apparent divergence between optimal and observed canopy profiles of photosynthetic capacity.</w:t>
      </w:r>
      <w:r>
        <w:t xml:space="preserve"> </w:t>
      </w:r>
      <w:r>
        <w:rPr>
          <w:i/>
        </w:rPr>
        <w:t xml:space="preserve">New Phytologist</w:t>
      </w:r>
      <w:r>
        <w:t xml:space="preserve"> </w:t>
      </w:r>
      <w:r>
        <w:rPr>
          <w:b/>
        </w:rPr>
        <w:t xml:space="preserve">230</w:t>
      </w:r>
      <w:r>
        <w:t xml:space="preserve">: 2246–2260.</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4"/>
    <w:bookmarkStart w:id="85"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5"/>
    <w:bookmarkStart w:id="86"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6"/>
    <w:bookmarkStart w:id="87"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87"/>
    <w:bookmarkStart w:id="88"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8"/>
    <w:bookmarkStart w:id="89"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9"/>
    <w:bookmarkStart w:id="90"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0"/>
    <w:bookmarkStart w:id="91"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91"/>
    <w:bookmarkStart w:id="92"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2"/>
    <w:bookmarkStart w:id="93"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3"/>
    <w:bookmarkStart w:id="94"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4"/>
    <w:bookmarkStart w:id="95"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5"/>
    <w:bookmarkStart w:id="96"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99"/>
    <w:bookmarkStart w:id="100"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00"/>
    <w:bookmarkStart w:id="101"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01"/>
    <w:bookmarkStart w:id="102"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02"/>
    <w:bookmarkStart w:id="103"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03"/>
    <w:bookmarkStart w:id="104"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4"/>
    <w:bookmarkStart w:id="105"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5"/>
    <w:bookmarkStart w:id="106"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6"/>
    <w:bookmarkStart w:id="107"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7"/>
    <w:bookmarkStart w:id="108"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8"/>
    <w:bookmarkStart w:id="109"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9"/>
    <w:bookmarkStart w:id="110"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10"/>
    <w:bookmarkStart w:id="111"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11"/>
    <w:bookmarkStart w:id="112"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12"/>
    <w:bookmarkStart w:id="113"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13"/>
    <w:bookmarkStart w:id="114"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14"/>
    <w:bookmarkStart w:id="115"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15"/>
    <w:bookmarkStart w:id="116"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16"/>
    <w:bookmarkStart w:id="11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17"/>
    <w:bookmarkStart w:id="11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18"/>
    <w:bookmarkStart w:id="11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19"/>
    <w:bookmarkStart w:id="12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20"/>
    <w:bookmarkStart w:id="121"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21"/>
    <w:bookmarkStart w:id="122"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22"/>
    <w:bookmarkStart w:id="123"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23"/>
    <w:bookmarkStart w:id="124"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24"/>
    <w:bookmarkStart w:id="125"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25"/>
    <w:bookmarkStart w:id="126"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26"/>
    <w:bookmarkStart w:id="127"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27"/>
    <w:bookmarkStart w:id="128"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28"/>
    <w:bookmarkStart w:id="129"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29"/>
    <w:bookmarkStart w:id="130"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30"/>
    <w:bookmarkStart w:id="131"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31"/>
    <w:bookmarkStart w:id="132"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32"/>
    <w:bookmarkStart w:id="133"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33"/>
    <w:bookmarkStart w:id="134"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34"/>
    <w:bookmarkStart w:id="135"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35"/>
    <w:bookmarkStart w:id="136"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36"/>
    <w:bookmarkStart w:id="137"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37"/>
    <w:bookmarkStart w:id="138"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38"/>
    <w:bookmarkStart w:id="139"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39"/>
    <w:bookmarkStart w:id="140"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40"/>
    <w:bookmarkStart w:id="141"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41"/>
    <w:bookmarkStart w:id="142"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42"/>
    <w:bookmarkStart w:id="143"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43"/>
    <w:bookmarkStart w:id="144"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44"/>
    <w:bookmarkStart w:id="145"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45"/>
    <w:bookmarkStart w:id="146"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46"/>
    <w:bookmarkStart w:id="147"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47"/>
    <w:bookmarkStart w:id="148"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48"/>
    <w:bookmarkStart w:id="149"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49"/>
    <w:bookmarkStart w:id="150"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50"/>
    <w:bookmarkStart w:id="151"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51"/>
    <w:bookmarkStart w:id="152"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52"/>
    <w:bookmarkStart w:id="153"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53"/>
    <w:bookmarkStart w:id="154"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54"/>
    <w:bookmarkStart w:id="155"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55"/>
    <w:bookmarkStart w:id="156"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56"/>
    <w:bookmarkStart w:id="157" w:name="X100803c3698c24d8f47d72d6048009e4b7089ab"/>
    <w:p>
      <w:pPr>
        <w:pStyle w:val="Bibliography"/>
      </w:pPr>
      <w:r>
        <w:rPr>
          <w:b w:val="0"/>
          <w:b/>
        </w:rPr>
        <w:t xml:space="preserve">Maclean IMD</w:t>
      </w:r>
      <w:r>
        <w:rPr>
          <w:b/>
        </w:rPr>
        <w:t xml:space="preserve">,</w:t>
      </w:r>
      <w:r>
        <w:rPr>
          <w:b/>
        </w:rPr>
        <w:t xml:space="preserve"> </w:t>
      </w:r>
      <w:r>
        <w:rPr>
          <w:b w:val="0"/>
          <w:b/>
        </w:rPr>
        <w:t xml:space="preserve">Klinges DH</w:t>
      </w:r>
      <w:r>
        <w:t xml:space="preserve">.</w:t>
      </w:r>
      <w:r>
        <w:t xml:space="preserve"> </w:t>
      </w:r>
      <w:r>
        <w:rPr>
          <w:b/>
        </w:rPr>
        <w:t xml:space="preserve">2021</w:t>
      </w:r>
      <w:r>
        <w:t xml:space="preserve">. Microclimc: A mechanistic model of above, below and within-canopy microclimate.</w:t>
      </w:r>
      <w:r>
        <w:t xml:space="preserve"> </w:t>
      </w:r>
      <w:r>
        <w:rPr>
          <w:i/>
        </w:rPr>
        <w:t xml:space="preserve">Ecological Modelling</w:t>
      </w:r>
      <w:r>
        <w:t xml:space="preserve"> </w:t>
      </w:r>
      <w:r>
        <w:rPr>
          <w:b/>
        </w:rPr>
        <w:t xml:space="preserve">451</w:t>
      </w:r>
      <w:r>
        <w:t xml:space="preserve">: 109567.</w:t>
      </w:r>
    </w:p>
    <w:bookmarkEnd w:id="157"/>
    <w:bookmarkStart w:id="158"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58"/>
    <w:bookmarkStart w:id="159"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59"/>
    <w:bookmarkStart w:id="160"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60"/>
    <w:bookmarkStart w:id="16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61"/>
    <w:bookmarkStart w:id="16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62"/>
    <w:bookmarkStart w:id="163"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3"/>
    <w:bookmarkStart w:id="164"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64"/>
    <w:bookmarkStart w:id="16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65"/>
    <w:bookmarkStart w:id="16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66"/>
    <w:bookmarkStart w:id="16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67"/>
    <w:bookmarkStart w:id="16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68"/>
    <w:bookmarkStart w:id="16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69"/>
    <w:bookmarkStart w:id="17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70"/>
    <w:bookmarkStart w:id="17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71"/>
    <w:bookmarkStart w:id="17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72"/>
    <w:bookmarkStart w:id="17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73"/>
    <w:bookmarkStart w:id="17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74"/>
    <w:bookmarkStart w:id="17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75"/>
    <w:bookmarkStart w:id="176"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76"/>
    <w:bookmarkStart w:id="177"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77"/>
    <w:bookmarkStart w:id="178"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178"/>
    <w:bookmarkStart w:id="179"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179"/>
    <w:bookmarkStart w:id="180"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80"/>
    <w:bookmarkStart w:id="181"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81"/>
    <w:bookmarkStart w:id="182"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82"/>
    <w:bookmarkStart w:id="183"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183"/>
    <w:bookmarkStart w:id="18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84"/>
    <w:bookmarkStart w:id="18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85"/>
    <w:bookmarkStart w:id="18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86"/>
    <w:bookmarkStart w:id="18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87"/>
    <w:bookmarkStart w:id="18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88"/>
    <w:bookmarkStart w:id="189" w:name="ref-niinemetsEmissionFactorVolatile2010"/>
    <w:p>
      <w:pPr>
        <w:pStyle w:val="Bibliography"/>
      </w:pPr>
      <w:r>
        <w:rPr>
          <w:b w:val="0"/>
          <w:b/>
        </w:rPr>
        <w:t xml:space="preserve">Niinemets Ü</w:t>
      </w:r>
      <w:r>
        <w:rPr>
          <w:b/>
        </w:rPr>
        <w:t xml:space="preserve">,</w:t>
      </w:r>
      <w:r>
        <w:rPr>
          <w:b/>
        </w:rPr>
        <w:t xml:space="preserve"> </w:t>
      </w:r>
      <w:r>
        <w:rPr>
          <w:b w:val="0"/>
          <w:b/>
        </w:rPr>
        <w:t xml:space="preserve">Arneth A</w:t>
      </w:r>
      <w:r>
        <w:rPr>
          <w:b/>
        </w:rPr>
        <w:t xml:space="preserve">,</w:t>
      </w:r>
      <w:r>
        <w:rPr>
          <w:b/>
        </w:rPr>
        <w:t xml:space="preserve"> </w:t>
      </w:r>
      <w:r>
        <w:rPr>
          <w:b w:val="0"/>
          <w:b/>
        </w:rPr>
        <w:t xml:space="preserve">Kuhn U</w:t>
      </w:r>
      <w:r>
        <w:rPr>
          <w:b/>
        </w:rPr>
        <w:t xml:space="preserve">,</w:t>
      </w:r>
      <w:r>
        <w:rPr>
          <w:b/>
        </w:rPr>
        <w:t xml:space="preserve"> </w:t>
      </w:r>
      <w:r>
        <w:rPr>
          <w:b w:val="0"/>
          <w:b/>
        </w:rPr>
        <w:t xml:space="preserve">Monson RK</w:t>
      </w:r>
      <w:r>
        <w:rPr>
          <w:b/>
        </w:rPr>
        <w:t xml:space="preserve">,</w:t>
      </w:r>
      <w:r>
        <w:rPr>
          <w:b/>
        </w:rPr>
        <w:t xml:space="preserve"> </w:t>
      </w:r>
      <w:r>
        <w:rPr>
          <w:b w:val="0"/>
          <w:b/>
        </w:rPr>
        <w:t xml:space="preserve">Peñuelas J</w:t>
      </w:r>
      <w:r>
        <w:rPr>
          <w:b/>
        </w:rPr>
        <w:t xml:space="preserve">,</w:t>
      </w:r>
      <w:r>
        <w:rPr>
          <w:b/>
        </w:rPr>
        <w:t xml:space="preserve"> </w:t>
      </w:r>
      <w:r>
        <w:rPr>
          <w:b w:val="0"/>
          <w:b/>
        </w:rPr>
        <w:t xml:space="preserve">Staudt M</w:t>
      </w:r>
      <w:r>
        <w:t xml:space="preserve">.</w:t>
      </w:r>
      <w:r>
        <w:t xml:space="preserve"> </w:t>
      </w:r>
      <w:r>
        <w:rPr>
          <w:b/>
        </w:rPr>
        <w:t xml:space="preserve">2010</w:t>
      </w:r>
      <w:r>
        <w:t xml:space="preserve">. The emission factor of volatile isoprenoids: Stress, acclimation, and developmental responses.</w:t>
      </w:r>
      <w:r>
        <w:t xml:space="preserve"> </w:t>
      </w:r>
      <w:r>
        <w:rPr>
          <w:i/>
        </w:rPr>
        <w:t xml:space="preserve">Biogeosciences</w:t>
      </w:r>
      <w:r>
        <w:t xml:space="preserve"> </w:t>
      </w:r>
      <w:r>
        <w:rPr>
          <w:b/>
        </w:rPr>
        <w:t xml:space="preserve">7</w:t>
      </w:r>
      <w:r>
        <w:t xml:space="preserve">: 2203–2223.</w:t>
      </w:r>
    </w:p>
    <w:bookmarkEnd w:id="189"/>
    <w:bookmarkStart w:id="19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90"/>
    <w:bookmarkStart w:id="19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91"/>
    <w:bookmarkStart w:id="19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92"/>
    <w:bookmarkStart w:id="19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93"/>
    <w:bookmarkStart w:id="19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94"/>
    <w:bookmarkStart w:id="19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95"/>
    <w:bookmarkStart w:id="19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96"/>
    <w:bookmarkStart w:id="19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97"/>
    <w:bookmarkStart w:id="19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98"/>
    <w:bookmarkStart w:id="19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99"/>
    <w:bookmarkStart w:id="20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200"/>
    <w:bookmarkStart w:id="20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01"/>
    <w:bookmarkStart w:id="20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02"/>
    <w:bookmarkStart w:id="20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03"/>
    <w:bookmarkStart w:id="20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204"/>
    <w:bookmarkStart w:id="20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05"/>
    <w:bookmarkStart w:id="20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06"/>
    <w:bookmarkStart w:id="20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07"/>
    <w:bookmarkStart w:id="20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08"/>
    <w:bookmarkStart w:id="20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09"/>
    <w:bookmarkStart w:id="21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10"/>
    <w:bookmarkStart w:id="21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11"/>
    <w:bookmarkStart w:id="212"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12"/>
    <w:bookmarkStart w:id="213"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13"/>
    <w:bookmarkStart w:id="214"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14"/>
    <w:bookmarkStart w:id="215"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15"/>
    <w:bookmarkStart w:id="216"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16"/>
    <w:bookmarkStart w:id="217"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17"/>
    <w:bookmarkStart w:id="218"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18"/>
    <w:bookmarkStart w:id="21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19"/>
    <w:bookmarkStart w:id="22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20"/>
    <w:bookmarkStart w:id="22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21"/>
    <w:bookmarkStart w:id="22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22"/>
    <w:bookmarkStart w:id="22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23"/>
    <w:bookmarkStart w:id="22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24"/>
    <w:bookmarkStart w:id="22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25"/>
    <w:bookmarkStart w:id="22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26"/>
    <w:bookmarkStart w:id="227"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27"/>
    <w:bookmarkStart w:id="228"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28"/>
    <w:bookmarkStart w:id="229"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29"/>
    <w:bookmarkStart w:id="230"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30"/>
    <w:bookmarkStart w:id="231"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31"/>
    <w:bookmarkStart w:id="232"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32"/>
    <w:bookmarkStart w:id="233"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33"/>
    <w:bookmarkStart w:id="234"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34"/>
    <w:bookmarkStart w:id="235"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35"/>
    <w:bookmarkStart w:id="236" w:name="Xe2b8412b8eeb6a0e754b3714d7160edd425159e"/>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de Oliveira 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Figueira M</w:t>
      </w:r>
      <w:r>
        <w:rPr>
          <w:b/>
        </w:rPr>
        <w:t xml:space="preserve">,</w:t>
      </w:r>
      <w:r>
        <w:rPr>
          <w:b/>
        </w:rPr>
        <w:t xml:space="preserve"> </w:t>
      </w:r>
      <w:r>
        <w:rPr>
          <w:b w:val="0"/>
          <w:b/>
        </w:rPr>
        <w:t xml:space="preserve">de Camargo PB</w:t>
      </w:r>
      <w:r>
        <w:rPr>
          <w:b/>
        </w:rPr>
        <w:t xml:space="preserve"> </w:t>
      </w:r>
      <w:r>
        <w:rPr>
          <w:i/>
          <w:b/>
        </w:rPr>
        <w:t xml:space="preserve">et al.</w:t>
      </w:r>
      <w:r>
        <w:t xml:space="preserve"> </w:t>
      </w:r>
      <w:r>
        <w:rPr>
          <w:b/>
        </w:rPr>
        <w:t xml:space="preserve">2019a</w:t>
      </w:r>
      <w:r>
        <w:t xml:space="preserve">. Seasonal and drought-related changes in leaf area profiles depend on height and light environment in an Amazon forest.</w:t>
      </w:r>
      <w:r>
        <w:t xml:space="preserve"> </w:t>
      </w:r>
      <w:r>
        <w:rPr>
          <w:i/>
        </w:rPr>
        <w:t xml:space="preserve">New Phytologist</w:t>
      </w:r>
      <w:r>
        <w:t xml:space="preserve">: 37.</w:t>
      </w:r>
    </w:p>
    <w:bookmarkEnd w:id="236"/>
    <w:bookmarkStart w:id="237"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2019b</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37"/>
    <w:bookmarkStart w:id="238"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38"/>
    <w:bookmarkStart w:id="239"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39"/>
    <w:bookmarkStart w:id="240"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40"/>
    <w:bookmarkStart w:id="241"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41"/>
    <w:bookmarkStart w:id="242"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42"/>
    <w:bookmarkStart w:id="243"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3"/>
    <w:bookmarkStart w:id="244"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44"/>
    <w:bookmarkStart w:id="245"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45"/>
    <w:bookmarkStart w:id="246"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46"/>
    <w:bookmarkStart w:id="247"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47"/>
    <w:bookmarkStart w:id="248"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2019a</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8"/>
    <w:bookmarkStart w:id="249"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2019b</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49"/>
    <w:bookmarkStart w:id="250"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250"/>
    <w:bookmarkStart w:id="251"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51"/>
    <w:bookmarkStart w:id="252"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52"/>
    <w:bookmarkStart w:id="253"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53"/>
    <w:bookmarkStart w:id="254"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54"/>
    <w:bookmarkStart w:id="255"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55"/>
    <w:bookmarkStart w:id="256"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56"/>
    <w:bookmarkStart w:id="257"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57"/>
    <w:bookmarkStart w:id="258"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58"/>
    <w:bookmarkStart w:id="259"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59"/>
    <w:bookmarkStart w:id="260"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60"/>
    <w:bookmarkStart w:id="261"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61"/>
    <w:bookmarkStart w:id="262"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62"/>
    <w:bookmarkStart w:id="263"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63"/>
    <w:bookmarkStart w:id="264"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64"/>
    <w:bookmarkStart w:id="265"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265"/>
    <w:bookmarkStart w:id="266"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66"/>
    <w:bookmarkStart w:id="267"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67"/>
    <w:bookmarkStart w:id="268"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68"/>
    <w:bookmarkStart w:id="269"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69"/>
    <w:bookmarkStart w:id="270"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70"/>
    <w:bookmarkStart w:id="271"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71"/>
    <w:bookmarkStart w:id="272"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72"/>
    <w:bookmarkStart w:id="273"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73"/>
    <w:bookmarkStart w:id="274"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74"/>
    <w:bookmarkStart w:id="275"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75"/>
    <w:bookmarkStart w:id="276"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76"/>
    <w:bookmarkStart w:id="277"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77"/>
    <w:bookmarkEnd w:id="278"/>
    <w:bookmarkEnd w:id="279"/>
    <w:bookmarkEnd w:id="2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oClimLab/vertical-thermal-review/issues/27" TargetMode="External" /><Relationship Type="http://schemas.openxmlformats.org/officeDocument/2006/relationships/hyperlink" Id="rId55"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2021-08-22T01:13:06Z</dcterms:created>
  <dcterms:modified xsi:type="dcterms:W3CDTF">2021-08-22T01:13:06Z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